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C04BDE">
        <w:rPr>
          <w:rFonts w:ascii="華康細圓體" w:eastAsia="華康細圓體" w:hAnsi="華康細圓體" w:hint="eastAsia"/>
          <w:b/>
          <w:sz w:val="40"/>
          <w:szCs w:val="28"/>
        </w:rPr>
        <w:t>110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531E31">
        <w:rPr>
          <w:rFonts w:ascii="華康細圓體" w:eastAsia="華康細圓體" w:hAnsi="華康細圓體"/>
          <w:szCs w:val="28"/>
        </w:rPr>
        <w:t>110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531E31">
        <w:rPr>
          <w:rFonts w:ascii="華康細圓體" w:eastAsia="華康細圓體" w:hAnsi="華康細圓體"/>
          <w:szCs w:val="28"/>
        </w:rPr>
        <w:t>110</w:t>
      </w:r>
      <w:bookmarkStart w:id="0" w:name="_GoBack"/>
      <w:bookmarkEnd w:id="0"/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22F43">
        <w:rPr>
          <w:rFonts w:ascii="華康細圓體" w:eastAsia="華康細圓體" w:hAnsi="華康細圓體" w:hint="eastAsia"/>
          <w:szCs w:val="28"/>
        </w:rPr>
        <w:t>110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C04BDE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C04BDE">
        <w:rPr>
          <w:rFonts w:ascii="華康細圓體" w:eastAsia="華康細圓體" w:hAnsi="華康細圓體" w:hint="eastAsia"/>
          <w:szCs w:val="28"/>
        </w:rPr>
        <w:t>28</w:t>
      </w:r>
      <w:r w:rsidR="007B754A" w:rsidRPr="0015163A">
        <w:rPr>
          <w:rFonts w:ascii="華康細圓體" w:eastAsia="華康細圓體" w:hAnsi="華康細圓體" w:hint="eastAsia"/>
          <w:szCs w:val="28"/>
        </w:rPr>
        <w:t>日(一)至3月</w:t>
      </w:r>
      <w:r w:rsidR="00804906">
        <w:rPr>
          <w:rFonts w:ascii="華康細圓體" w:eastAsia="華康細圓體" w:hAnsi="華康細圓體" w:hint="eastAsia"/>
          <w:szCs w:val="28"/>
        </w:rPr>
        <w:t>9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850C47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75F2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0353C3" w:rsidRDefault="000353C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</w:t>
      </w:r>
      <w:r w:rsidR="00581F37">
        <w:rPr>
          <w:rFonts w:ascii="華康細圓體" w:eastAsia="華康細圓體" w:hAnsi="華康細圓體" w:hint="eastAsia"/>
          <w:szCs w:val="28"/>
        </w:rPr>
        <w:t>，</w:t>
      </w:r>
      <w:r w:rsidR="00AF418B" w:rsidRPr="0003522E">
        <w:rPr>
          <w:rFonts w:ascii="華康細圓體" w:eastAsia="華康細圓體" w:hAnsi="華康細圓體" w:hint="eastAsia"/>
          <w:szCs w:val="28"/>
        </w:rPr>
        <w:t>並另掃描成電子檔(300dpi的JPG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繳交。</w:t>
      </w:r>
    </w:p>
    <w:p w:rsidR="00AF418B" w:rsidRPr="0003522E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及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電子檔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(1)紙本作品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，送至交換櫃。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(2)電子檔：</w:t>
      </w:r>
    </w:p>
    <w:p w:rsidR="00AF418B" w:rsidRDefault="00AF418B" w:rsidP="000353C3">
      <w:pPr>
        <w:spacing w:line="460" w:lineRule="exact"/>
        <w:ind w:left="48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581F37">
        <w:rPr>
          <w:rFonts w:ascii="華康細圓體" w:eastAsia="華康細圓體" w:hAnsi="華康細圓體" w:hint="eastAsia"/>
          <w:szCs w:val="28"/>
        </w:rPr>
        <w:t xml:space="preserve">  </w:t>
      </w:r>
      <w:r>
        <w:rPr>
          <w:rFonts w:ascii="華康細圓體" w:eastAsia="華康細圓體" w:hAnsi="華康細圓體" w:hint="eastAsia"/>
          <w:szCs w:val="28"/>
        </w:rPr>
        <w:t xml:space="preserve"> </w:t>
      </w:r>
      <w:r>
        <w:rPr>
          <w:rFonts w:ascii="華康細圓體" w:eastAsia="華康細圓體" w:hAnsi="華康細圓體"/>
          <w:szCs w:val="28"/>
        </w:rPr>
        <w:t>a.</w:t>
      </w:r>
      <w:r>
        <w:rPr>
          <w:rFonts w:ascii="華康細圓體" w:eastAsia="華康細圓體" w:hAnsi="華康細圓體" w:hint="eastAsia"/>
          <w:szCs w:val="28"/>
        </w:rPr>
        <w:t>格式</w:t>
      </w:r>
      <w:r w:rsidRPr="00AF418B">
        <w:rPr>
          <w:rFonts w:ascii="華康細圓體" w:eastAsia="華康細圓體" w:hAnsi="華康細圓體" w:hint="eastAsia"/>
          <w:color w:val="000000"/>
          <w:szCs w:val="28"/>
        </w:rPr>
        <w:t>(300dpi的JPG</w:t>
      </w:r>
      <w:r w:rsidRPr="00AF418B">
        <w:rPr>
          <w:rFonts w:ascii="華康細圓體" w:eastAsia="華康細圓體" w:hAnsi="華康細圓體"/>
          <w:color w:val="000000"/>
          <w:szCs w:val="28"/>
        </w:rPr>
        <w:t>)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/>
          <w:color w:val="000000"/>
          <w:szCs w:val="28"/>
        </w:rPr>
        <w:t>b.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檔名格式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：校名-學生班級座號姓名-健保用藥比賽</w:t>
      </w:r>
      <w:r w:rsidR="00423FBF">
        <w:rPr>
          <w:rFonts w:ascii="華康細圓體" w:eastAsia="華康細圓體" w:hAnsi="華康細圓體" w:hint="eastAsia"/>
          <w:color w:val="000000"/>
          <w:szCs w:val="28"/>
        </w:rPr>
        <w:t>109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，範例如下</w:t>
      </w:r>
    </w:p>
    <w:p w:rsidR="00AF418B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 w:rsidRPr="00581F37"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>
        <w:rPr>
          <w:rFonts w:ascii="華康細圓體" w:eastAsia="華康細圓體" w:hAnsi="華康細圓體" w:hint="eastAsia"/>
          <w:color w:val="000000"/>
          <w:szCs w:val="28"/>
        </w:rPr>
        <w:t xml:space="preserve"> 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三民國中-72501林小民-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F418B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F418B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</w:p>
    <w:p w:rsidR="00A34F74" w:rsidRDefault="00581F37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color w:val="000000"/>
          <w:szCs w:val="28"/>
        </w:rPr>
      </w:pPr>
      <w:r>
        <w:rPr>
          <w:rFonts w:ascii="華康細圓體" w:eastAsia="華康細圓體" w:hAnsi="華康細圓體" w:hint="eastAsia"/>
          <w:color w:val="000000"/>
          <w:szCs w:val="28"/>
        </w:rPr>
        <w:t xml:space="preserve">  </w:t>
      </w:r>
      <w:r w:rsidR="00AF418B">
        <w:rPr>
          <w:rFonts w:ascii="華康細圓體" w:eastAsia="華康細圓體" w:hAnsi="華康細圓體" w:hint="eastAsia"/>
          <w:color w:val="000000"/>
          <w:szCs w:val="28"/>
        </w:rPr>
        <w:t>c.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寄至承辦學校信箱，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信件主旨請寫：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【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健保用藥藝文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比賽</w:t>
      </w:r>
      <w:r w:rsidR="00423FBF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109</w:t>
      </w:r>
      <w:r w:rsidR="00A34F74" w:rsidRPr="007B754A">
        <w:rPr>
          <w:rFonts w:ascii="華康細圓體" w:eastAsia="華康細圓體" w:hAnsi="華康細圓體" w:hint="eastAsia"/>
          <w:b/>
          <w:color w:val="000000"/>
          <w:szCs w:val="28"/>
          <w:shd w:val="pct15" w:color="auto" w:fill="FFFFFF"/>
        </w:rPr>
        <w:t>-學校名稱</w:t>
      </w:r>
      <w:r w:rsidR="00A34F74" w:rsidRPr="007B754A">
        <w:rPr>
          <w:rFonts w:ascii="華康細圓體" w:eastAsia="華康細圓體" w:hAnsi="華康細圓體" w:hint="eastAsia"/>
          <w:color w:val="000000"/>
          <w:szCs w:val="28"/>
          <w:shd w:val="pct15" w:color="auto" w:fill="FFFFFF"/>
        </w:rPr>
        <w:t>】</w:t>
      </w:r>
      <w:r w:rsidR="00A34F74">
        <w:rPr>
          <w:rFonts w:ascii="華康細圓體" w:eastAsia="華康細圓體" w:hAnsi="華康細圓體" w:hint="eastAsia"/>
          <w:color w:val="000000"/>
          <w:szCs w:val="28"/>
        </w:rPr>
        <w:t>。</w:t>
      </w:r>
    </w:p>
    <w:p w:rsidR="00AF418B" w:rsidRPr="00C40DE9" w:rsidRDefault="00A34F74" w:rsidP="000353C3">
      <w:pPr>
        <w:spacing w:line="460" w:lineRule="exact"/>
        <w:ind w:left="480" w:firstLineChars="100" w:firstLine="24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Pr="00C40DE9">
        <w:rPr>
          <w:rFonts w:ascii="華康細圓體" w:eastAsia="華康細圓體" w:hAnsi="華康細圓體" w:hint="eastAsia"/>
          <w:b/>
          <w:szCs w:val="28"/>
        </w:rPr>
        <w:t>承辦學校信箱</w:t>
      </w:r>
      <w:r w:rsidRPr="00C40DE9">
        <w:rPr>
          <w:rFonts w:ascii="華康細圓體" w:eastAsia="華康細圓體" w:hAnsi="華康細圓體" w:hint="eastAsia"/>
          <w:szCs w:val="28"/>
        </w:rPr>
        <w:t>：</w:t>
      </w:r>
      <w:r w:rsidRPr="00C40DE9">
        <w:rPr>
          <w:rFonts w:ascii="華康細圓體" w:eastAsia="華康細圓體" w:hAnsi="華康細圓體" w:hint="eastAsia"/>
          <w:b/>
          <w:szCs w:val="28"/>
        </w:rPr>
        <w:t>smjhhealth@gmail.com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6762CB" w:rsidRPr="00C40DE9">
        <w:rPr>
          <w:rFonts w:ascii="華康細圓體" w:eastAsia="華康細圓體" w:hAnsi="華康細圓體" w:hint="eastAsia"/>
          <w:szCs w:val="28"/>
        </w:rPr>
        <w:t>10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C40DE9" w:rsidRPr="00C40DE9">
        <w:rPr>
          <w:rFonts w:ascii="華康細圓體" w:eastAsia="華康細圓體" w:hAnsi="華康細圓體" w:hint="eastAsia"/>
          <w:szCs w:val="28"/>
        </w:rPr>
        <w:t>8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731588">
        <w:rPr>
          <w:rFonts w:ascii="華康細圓體" w:eastAsia="華康細圓體" w:hAnsi="華康細圓體" w:hint="eastAsia"/>
          <w:szCs w:val="28"/>
        </w:rPr>
        <w:t>5</w:t>
      </w:r>
      <w:r w:rsidRPr="00C40DE9">
        <w:rPr>
          <w:rFonts w:ascii="華康細圓體" w:eastAsia="華康細圓體" w:hAnsi="華康細圓體" w:hint="eastAsia"/>
          <w:szCs w:val="28"/>
        </w:rPr>
        <w:t>00元，各組取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.佳作-頒發新竹市政府獎狀乙張，各組取二名。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作品背後務必貼上報名表。需同時繳交紙本作品與電子檔。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876A2E" w:rsidRPr="00836038">
        <w:rPr>
          <w:rFonts w:ascii="華康細圓體" w:eastAsia="華康細圓體" w:hAnsi="華康細圓體" w:hint="eastAsia"/>
          <w:szCs w:val="28"/>
        </w:rPr>
        <w:t>，請參賽者自行保留作品的電子檔或掃描的資料。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850C47">
        <w:rPr>
          <w:rFonts w:ascii="華康細圓體" w:eastAsia="華康細圓體" w:hAnsi="華康細圓體" w:hint="eastAsia"/>
          <w:szCs w:val="28"/>
        </w:rPr>
        <w:t>110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AF5E87" w:rsidRDefault="00AF5E87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410FA8" w:rsidRDefault="00410FA8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p w:rsidR="0061608D" w:rsidRDefault="0061608D" w:rsidP="000353C3">
      <w:pPr>
        <w:widowControl/>
        <w:spacing w:line="460" w:lineRule="exact"/>
        <w:rPr>
          <w:rFonts w:ascii="華康細圓體" w:eastAsia="華康細圓體" w:hAnsi="華康細圓體"/>
          <w:szCs w:val="28"/>
        </w:rPr>
      </w:pP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876A2E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新竹市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110 學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新竹市</w:t>
      </w:r>
      <w:r w:rsidR="00850C47">
        <w:rPr>
          <w:rFonts w:ascii="華康細圓體" w:eastAsia="華康細圓體" w:hAnsi="華康細圓體" w:hint="eastAsia"/>
          <w:b/>
          <w:sz w:val="32"/>
          <w:szCs w:val="28"/>
        </w:rPr>
        <w:t>110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D93B6F">
      <w:footerReference w:type="even" r:id="rId7"/>
      <w:footerReference w:type="default" r:id="rId8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D8" w:rsidRDefault="00A278D8" w:rsidP="00BC7FCE">
      <w:r>
        <w:separator/>
      </w:r>
    </w:p>
  </w:endnote>
  <w:endnote w:type="continuationSeparator" w:id="0">
    <w:p w:rsidR="00A278D8" w:rsidRDefault="00A278D8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78D8" w:rsidRPr="00A278D8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D8" w:rsidRDefault="00A278D8" w:rsidP="00BC7FCE">
      <w:r>
        <w:separator/>
      </w:r>
    </w:p>
  </w:footnote>
  <w:footnote w:type="continuationSeparator" w:id="0">
    <w:p w:rsidR="00A278D8" w:rsidRDefault="00A278D8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43"/>
    <w:rsid w:val="00355FE8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A278D8"/>
    <w:rsid w:val="00A337AC"/>
    <w:rsid w:val="00A34F74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A6FE1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張諺杰</cp:lastModifiedBy>
  <cp:revision>4</cp:revision>
  <cp:lastPrinted>2020-11-19T08:57:00Z</cp:lastPrinted>
  <dcterms:created xsi:type="dcterms:W3CDTF">2021-12-13T02:51:00Z</dcterms:created>
  <dcterms:modified xsi:type="dcterms:W3CDTF">2021-12-13T03:02:00Z</dcterms:modified>
</cp:coreProperties>
</file>